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5DE" w14:textId="2F9BADA0" w:rsidR="00351C92" w:rsidRDefault="00351C92" w:rsidP="00FC12D4">
      <w:pPr>
        <w:rPr>
          <w:b/>
          <w:bCs/>
          <w:noProof/>
        </w:rPr>
      </w:pPr>
      <w:r>
        <w:rPr>
          <w:b/>
          <w:bCs/>
          <w:noProof/>
        </w:rPr>
        <w:drawing>
          <wp:inline distT="0" distB="0" distL="0" distR="0" wp14:anchorId="4BBA605E" wp14:editId="4DF4B8BF">
            <wp:extent cx="2015710" cy="4370392"/>
            <wp:effectExtent l="0" t="0" r="3810" b="0"/>
            <wp:docPr id="1050661780" name="Imagen 1" descr="Imagen que contiene refrigerador, biblioteca, cuarto, c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61780" name="Imagen 1" descr="Imagen que contiene refrigerador, biblioteca, cuarto, cama&#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5396" cy="4391393"/>
                    </a:xfrm>
                    <a:prstGeom prst="rect">
                      <a:avLst/>
                    </a:prstGeom>
                    <a:noFill/>
                    <a:ln>
                      <a:noFill/>
                    </a:ln>
                  </pic:spPr>
                </pic:pic>
              </a:graphicData>
            </a:graphic>
          </wp:inline>
        </w:drawing>
      </w:r>
      <w:r w:rsidRPr="00351C92">
        <w:rPr>
          <w:b/>
          <w:bCs/>
          <w:noProof/>
        </w:rPr>
        <w:t xml:space="preserve"> </w:t>
      </w:r>
      <w:r>
        <w:rPr>
          <w:b/>
          <w:bCs/>
          <w:noProof/>
        </w:rPr>
        <w:drawing>
          <wp:inline distT="0" distB="0" distL="0" distR="0" wp14:anchorId="6A169C84" wp14:editId="04F88AE2">
            <wp:extent cx="2020476" cy="4393664"/>
            <wp:effectExtent l="0" t="0" r="0" b="6985"/>
            <wp:docPr id="1985494638" name="Imagen 2" descr="Vista de una bibliote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94638" name="Imagen 2" descr="Vista de una biblioteca&#10;&#10;El contenido generado por IA puede ser incorrec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5278" cy="4425852"/>
                    </a:xfrm>
                    <a:prstGeom prst="rect">
                      <a:avLst/>
                    </a:prstGeom>
                    <a:noFill/>
                    <a:ln>
                      <a:noFill/>
                    </a:ln>
                  </pic:spPr>
                </pic:pic>
              </a:graphicData>
            </a:graphic>
          </wp:inline>
        </w:drawing>
      </w:r>
    </w:p>
    <w:p w14:paraId="4F186124" w14:textId="77777777" w:rsidR="00351C92" w:rsidRDefault="00351C92" w:rsidP="00FC12D4">
      <w:pPr>
        <w:rPr>
          <w:b/>
          <w:bCs/>
          <w:noProof/>
        </w:rPr>
      </w:pPr>
    </w:p>
    <w:p w14:paraId="7F7884F6" w14:textId="77777777" w:rsidR="00351C92" w:rsidRDefault="00351C92" w:rsidP="00FC12D4">
      <w:pPr>
        <w:rPr>
          <w:b/>
          <w:bCs/>
          <w:noProof/>
        </w:rPr>
      </w:pPr>
    </w:p>
    <w:p w14:paraId="6E555D75" w14:textId="77777777" w:rsidR="00351C92" w:rsidRDefault="00351C92" w:rsidP="00FC12D4">
      <w:pPr>
        <w:rPr>
          <w:b/>
          <w:bCs/>
          <w:noProof/>
        </w:rPr>
      </w:pPr>
    </w:p>
    <w:p w14:paraId="02BA70FF" w14:textId="77777777" w:rsidR="00351C92" w:rsidRDefault="00351C92" w:rsidP="00FC12D4">
      <w:pPr>
        <w:rPr>
          <w:b/>
          <w:bCs/>
          <w:noProof/>
        </w:rPr>
      </w:pPr>
    </w:p>
    <w:p w14:paraId="644FBCDB" w14:textId="77777777" w:rsidR="00351C92" w:rsidRDefault="00351C92" w:rsidP="00FC12D4">
      <w:pPr>
        <w:rPr>
          <w:b/>
          <w:bCs/>
          <w:noProof/>
        </w:rPr>
      </w:pPr>
    </w:p>
    <w:p w14:paraId="2733CD74" w14:textId="77777777" w:rsidR="00351C92" w:rsidRDefault="00351C92" w:rsidP="00FC12D4">
      <w:pPr>
        <w:rPr>
          <w:b/>
          <w:bCs/>
          <w:noProof/>
        </w:rPr>
      </w:pPr>
    </w:p>
    <w:p w14:paraId="65DBCD91" w14:textId="77777777" w:rsidR="00351C92" w:rsidRDefault="00351C92" w:rsidP="00FC12D4">
      <w:pPr>
        <w:rPr>
          <w:b/>
          <w:bCs/>
          <w:noProof/>
        </w:rPr>
      </w:pPr>
    </w:p>
    <w:p w14:paraId="4FF0A072" w14:textId="77777777" w:rsidR="00351C92" w:rsidRDefault="00351C92" w:rsidP="00FC12D4">
      <w:pPr>
        <w:rPr>
          <w:b/>
          <w:bCs/>
          <w:noProof/>
        </w:rPr>
      </w:pPr>
    </w:p>
    <w:p w14:paraId="32442DDA" w14:textId="77777777" w:rsidR="00351C92" w:rsidRDefault="00351C92" w:rsidP="00FC12D4">
      <w:pPr>
        <w:rPr>
          <w:b/>
          <w:bCs/>
          <w:noProof/>
        </w:rPr>
      </w:pPr>
    </w:p>
    <w:p w14:paraId="1C2CCFE9" w14:textId="77777777" w:rsidR="00351C92" w:rsidRDefault="00351C92" w:rsidP="00FC12D4">
      <w:pPr>
        <w:rPr>
          <w:b/>
          <w:bCs/>
          <w:noProof/>
        </w:rPr>
      </w:pPr>
    </w:p>
    <w:p w14:paraId="3296DB24" w14:textId="77777777" w:rsidR="00351C92" w:rsidRDefault="00351C92" w:rsidP="00FC12D4">
      <w:pPr>
        <w:rPr>
          <w:b/>
          <w:bCs/>
          <w:noProof/>
        </w:rPr>
      </w:pPr>
    </w:p>
    <w:p w14:paraId="215996BD" w14:textId="77777777" w:rsidR="00351C92" w:rsidRDefault="00351C92" w:rsidP="00FC12D4">
      <w:pPr>
        <w:rPr>
          <w:b/>
          <w:bCs/>
        </w:rPr>
      </w:pPr>
    </w:p>
    <w:p w14:paraId="2159792C" w14:textId="77777777" w:rsidR="00351C92" w:rsidRDefault="00351C92" w:rsidP="00FC12D4">
      <w:pPr>
        <w:rPr>
          <w:b/>
          <w:bCs/>
        </w:rPr>
      </w:pPr>
    </w:p>
    <w:p w14:paraId="579A89B4" w14:textId="77777777" w:rsidR="00351C92" w:rsidRDefault="00351C92" w:rsidP="00FC12D4">
      <w:pPr>
        <w:rPr>
          <w:b/>
          <w:bCs/>
        </w:rPr>
      </w:pPr>
    </w:p>
    <w:p w14:paraId="5CC66241" w14:textId="008A603C" w:rsidR="00FC12D4" w:rsidRPr="00FC12D4" w:rsidRDefault="00FC12D4" w:rsidP="00FC12D4">
      <w:pPr>
        <w:rPr>
          <w:b/>
          <w:bCs/>
        </w:rPr>
      </w:pPr>
      <w:r w:rsidRPr="00FC12D4">
        <w:rPr>
          <w:b/>
          <w:bCs/>
        </w:rPr>
        <w:lastRenderedPageBreak/>
        <w:t>STAND PORTÁTIL “LIDHERMA” - POSICIONAMIENTO DE PRODUCTOS</w:t>
      </w:r>
    </w:p>
    <w:p w14:paraId="41B44F33" w14:textId="77777777" w:rsidR="00FC12D4" w:rsidRPr="00FC12D4" w:rsidRDefault="00FC12D4" w:rsidP="00FC12D4">
      <w:commentRangeStart w:id="0"/>
      <w:r w:rsidRPr="00FC12D4">
        <w:rPr>
          <w:b/>
          <w:bCs/>
        </w:rPr>
        <w:t>Categoría:</w:t>
      </w:r>
      <w:r w:rsidRPr="00FC12D4">
        <w:t> </w:t>
      </w:r>
      <w:r w:rsidRPr="00FC12D4">
        <w:rPr>
          <w:b/>
          <w:bCs/>
        </w:rPr>
        <w:t>44. Store-in-Store (Semi-Permanente)</w:t>
      </w:r>
      <w:r w:rsidRPr="00FC12D4">
        <w:br/>
      </w:r>
      <w:r w:rsidRPr="00FC12D4">
        <w:rPr>
          <w:b/>
          <w:bCs/>
        </w:rPr>
        <w:t>Categoría Alternativa:</w:t>
      </w:r>
      <w:r w:rsidRPr="00FC12D4">
        <w:t> </w:t>
      </w:r>
      <w:r w:rsidRPr="00FC12D4">
        <w:rPr>
          <w:b/>
          <w:bCs/>
        </w:rPr>
        <w:t xml:space="preserve">47. Stands en exposiciones y puntos de experiencia fuera del </w:t>
      </w:r>
      <w:proofErr w:type="spellStart"/>
      <w:r w:rsidRPr="00FC12D4">
        <w:rPr>
          <w:b/>
          <w:bCs/>
        </w:rPr>
        <w:t>retail</w:t>
      </w:r>
      <w:proofErr w:type="spellEnd"/>
      <w:r w:rsidRPr="00FC12D4">
        <w:rPr>
          <w:b/>
          <w:bCs/>
        </w:rPr>
        <w:t xml:space="preserve"> (Única)</w:t>
      </w:r>
      <w:commentRangeEnd w:id="0"/>
      <w:r>
        <w:rPr>
          <w:rStyle w:val="Refdecomentario"/>
        </w:rPr>
        <w:commentReference w:id="0"/>
      </w:r>
    </w:p>
    <w:p w14:paraId="3D4F2D78" w14:textId="0A0C82D9" w:rsidR="00FC12D4" w:rsidRPr="00FC12D4" w:rsidRDefault="00FC12D4" w:rsidP="00FC12D4">
      <w:r w:rsidRPr="00FC12D4">
        <w:rPr>
          <w:b/>
          <w:bCs/>
        </w:rPr>
        <w:t>Participante:</w:t>
      </w:r>
      <w:r w:rsidRPr="00FC12D4">
        <w:t> </w:t>
      </w:r>
      <w:r>
        <w:t>PLANPEZ</w:t>
      </w:r>
      <w:r w:rsidRPr="00FC12D4">
        <w:br/>
      </w:r>
      <w:r w:rsidRPr="00FC12D4">
        <w:rPr>
          <w:b/>
          <w:bCs/>
        </w:rPr>
        <w:t>Cliente:</w:t>
      </w:r>
      <w:r w:rsidRPr="00FC12D4">
        <w:t> </w:t>
      </w:r>
      <w:proofErr w:type="spellStart"/>
      <w:r w:rsidRPr="00FC12D4">
        <w:t>Lidherma</w:t>
      </w:r>
      <w:proofErr w:type="spellEnd"/>
      <w:r w:rsidRPr="00FC12D4">
        <w:br/>
      </w:r>
      <w:r w:rsidRPr="00FC12D4">
        <w:rPr>
          <w:b/>
          <w:bCs/>
        </w:rPr>
        <w:t>País de emplazamiento:</w:t>
      </w:r>
      <w:r w:rsidRPr="00FC12D4">
        <w:t> Argentina</w:t>
      </w:r>
      <w:r w:rsidRPr="00FC12D4">
        <w:br/>
      </w:r>
      <w:r w:rsidRPr="00FC12D4">
        <w:rPr>
          <w:b/>
          <w:bCs/>
        </w:rPr>
        <w:t>Fecha de ejecución:</w:t>
      </w:r>
      <w:r w:rsidRPr="00FC12D4">
        <w:t> Septiembre - 202</w:t>
      </w:r>
      <w:r>
        <w:t>5</w:t>
      </w:r>
      <w:r w:rsidRPr="00FC12D4">
        <w:br/>
      </w:r>
      <w:r w:rsidRPr="00FC12D4">
        <w:rPr>
          <w:b/>
          <w:bCs/>
        </w:rPr>
        <w:t>Ubicación:</w:t>
      </w:r>
      <w:r w:rsidRPr="00FC12D4">
        <w:t> Múltiples puntos de venta (PDV) en la ciudad y el interior del país</w:t>
      </w:r>
    </w:p>
    <w:p w14:paraId="21903B8C" w14:textId="7A811E90" w:rsidR="00FC12D4" w:rsidRPr="00FC12D4" w:rsidRDefault="00FC12D4" w:rsidP="00FC12D4"/>
    <w:p w14:paraId="3549335D" w14:textId="77777777" w:rsidR="00FC12D4" w:rsidRPr="00FC12D4" w:rsidRDefault="00FC12D4" w:rsidP="00FC12D4">
      <w:pPr>
        <w:rPr>
          <w:b/>
          <w:bCs/>
        </w:rPr>
      </w:pPr>
      <w:proofErr w:type="spellStart"/>
      <w:r w:rsidRPr="00FC12D4">
        <w:rPr>
          <w:b/>
          <w:bCs/>
        </w:rPr>
        <w:t>Brief</w:t>
      </w:r>
      <w:proofErr w:type="spellEnd"/>
      <w:r w:rsidRPr="00FC12D4">
        <w:rPr>
          <w:b/>
          <w:bCs/>
        </w:rPr>
        <w:t>, Requerimientos y Objetivos</w:t>
      </w:r>
    </w:p>
    <w:p w14:paraId="544457E4" w14:textId="77777777" w:rsidR="00FC12D4" w:rsidRPr="00FC12D4" w:rsidRDefault="00FC12D4" w:rsidP="00FC12D4">
      <w:r w:rsidRPr="00FC12D4">
        <w:t xml:space="preserve">El </w:t>
      </w:r>
      <w:proofErr w:type="spellStart"/>
      <w:r w:rsidRPr="00FC12D4">
        <w:t>brief</w:t>
      </w:r>
      <w:proofErr w:type="spellEnd"/>
      <w:r w:rsidRPr="00FC12D4">
        <w:t xml:space="preserve"> de </w:t>
      </w:r>
      <w:proofErr w:type="spellStart"/>
      <w:r w:rsidRPr="00FC12D4">
        <w:t>Lidherma</w:t>
      </w:r>
      <w:proofErr w:type="spellEnd"/>
      <w:r w:rsidRPr="00FC12D4">
        <w:t xml:space="preserve"> consistió en desarrollar una solución versátil y escalable para posicionar sus productos en diversos puntos de venta, desde perfumerías hasta clínicas estéticas. Los objetivos clave eran reforzar la identidad de marca, destacar los productos estrella, facilitar la interacción con los consumidores y mantener una presencia premium y cohesionada en múltiples locaciones sin perder la esencia tradicional y confiable de la marca.</w:t>
      </w:r>
    </w:p>
    <w:p w14:paraId="5CECAF40" w14:textId="467E6C21" w:rsidR="00FC12D4" w:rsidRPr="00FC12D4" w:rsidRDefault="00FC12D4" w:rsidP="00FC12D4"/>
    <w:p w14:paraId="7F0C19E4" w14:textId="77777777" w:rsidR="00FC12D4" w:rsidRPr="00FC12D4" w:rsidRDefault="00FC12D4" w:rsidP="00FC12D4">
      <w:pPr>
        <w:rPr>
          <w:b/>
          <w:bCs/>
        </w:rPr>
      </w:pPr>
      <w:r w:rsidRPr="00FC12D4">
        <w:rPr>
          <w:b/>
          <w:bCs/>
        </w:rPr>
        <w:t>Estrategia, Creatividad y Desarrollo del Proyecto</w:t>
      </w:r>
    </w:p>
    <w:p w14:paraId="0E4A3266" w14:textId="70864F3A" w:rsidR="00FC12D4" w:rsidRPr="00FC12D4" w:rsidRDefault="00FC12D4" w:rsidP="00FC12D4">
      <w:r w:rsidRPr="00FC12D4">
        <w:t xml:space="preserve">La estrategia se centró en crear un stand portátil que replicara la estética institucional de </w:t>
      </w:r>
      <w:proofErr w:type="spellStart"/>
      <w:r w:rsidRPr="00FC12D4">
        <w:t>Lidherma</w:t>
      </w:r>
      <w:proofErr w:type="spellEnd"/>
      <w:r w:rsidRPr="00FC12D4">
        <w:t xml:space="preserve">, utilizando sus colores emblemáticos (como el </w:t>
      </w:r>
      <w:proofErr w:type="gramStart"/>
      <w:r w:rsidR="00FF0323">
        <w:t xml:space="preserve">rojo </w:t>
      </w:r>
      <w:r w:rsidRPr="00FC12D4">
        <w:t xml:space="preserve"> y</w:t>
      </w:r>
      <w:proofErr w:type="gramEnd"/>
      <w:r w:rsidRPr="00FC12D4">
        <w:t xml:space="preserve"> blanco) y materiales de alta gama que transmitieran profesionalismo y durabilidad.</w:t>
      </w:r>
    </w:p>
    <w:p w14:paraId="4F7C1C31" w14:textId="77777777" w:rsidR="00FC12D4" w:rsidRPr="00FC12D4" w:rsidRDefault="00FC12D4" w:rsidP="00FC12D4">
      <w:r w:rsidRPr="00FC12D4">
        <w:rPr>
          <w:b/>
          <w:bCs/>
        </w:rPr>
        <w:t>Innovación y ejecución:</w:t>
      </w:r>
    </w:p>
    <w:p w14:paraId="675252EC" w14:textId="2826BE59" w:rsidR="00FC12D4" w:rsidRPr="00FC12D4" w:rsidRDefault="00FC12D4" w:rsidP="00FC12D4">
      <w:pPr>
        <w:numPr>
          <w:ilvl w:val="0"/>
          <w:numId w:val="1"/>
        </w:numPr>
      </w:pPr>
      <w:r w:rsidRPr="00FC12D4">
        <w:rPr>
          <w:b/>
          <w:bCs/>
        </w:rPr>
        <w:t>Diseño y Fabricación:</w:t>
      </w:r>
      <w:r w:rsidRPr="00FC12D4">
        <w:t> Se desarrollaron </w:t>
      </w:r>
      <w:r w:rsidRPr="00FC12D4">
        <w:rPr>
          <w:b/>
          <w:bCs/>
        </w:rPr>
        <w:t xml:space="preserve">stands </w:t>
      </w:r>
      <w:r w:rsidRPr="00FC12D4">
        <w:t>fabricados en </w:t>
      </w:r>
      <w:r w:rsidRPr="00FC12D4">
        <w:rPr>
          <w:b/>
          <w:bCs/>
        </w:rPr>
        <w:t>MDF de alta densidad</w:t>
      </w:r>
      <w:r w:rsidRPr="00FC12D4">
        <w:t> con refuerzos estructurales para garantizar durabilidad en traslados y montajes frecuentes. Se incorporaron </w:t>
      </w:r>
      <w:r w:rsidRPr="00FC12D4">
        <w:rPr>
          <w:b/>
          <w:bCs/>
        </w:rPr>
        <w:t>paneles de acrílico</w:t>
      </w:r>
      <w:r w:rsidRPr="00FC12D4">
        <w:t> para exhibir productos de forma elegante</w:t>
      </w:r>
      <w:r w:rsidR="009F2323">
        <w:t>.</w:t>
      </w:r>
    </w:p>
    <w:p w14:paraId="5C4420BE" w14:textId="77777777" w:rsidR="00FC12D4" w:rsidRPr="00FC12D4" w:rsidRDefault="00FC12D4" w:rsidP="00FC12D4">
      <w:pPr>
        <w:numPr>
          <w:ilvl w:val="0"/>
          <w:numId w:val="1"/>
        </w:numPr>
      </w:pPr>
      <w:proofErr w:type="spellStart"/>
      <w:r w:rsidRPr="00FC12D4">
        <w:rPr>
          <w:b/>
          <w:bCs/>
        </w:rPr>
        <w:t>Gràficas</w:t>
      </w:r>
      <w:proofErr w:type="spellEnd"/>
      <w:r w:rsidRPr="00FC12D4">
        <w:rPr>
          <w:b/>
          <w:bCs/>
        </w:rPr>
        <w:t xml:space="preserve"> y Branding:</w:t>
      </w:r>
      <w:r w:rsidRPr="00FC12D4">
        <w:t> Todas las superficies se revistieron con </w:t>
      </w:r>
      <w:r w:rsidRPr="00FC12D4">
        <w:rPr>
          <w:b/>
          <w:bCs/>
        </w:rPr>
        <w:t xml:space="preserve">gráficas de impresión UV </w:t>
      </w:r>
      <w:proofErr w:type="spellStart"/>
      <w:r w:rsidRPr="00FC12D4">
        <w:rPr>
          <w:b/>
          <w:bCs/>
        </w:rPr>
        <w:t>latex</w:t>
      </w:r>
      <w:proofErr w:type="spellEnd"/>
      <w:r w:rsidRPr="00FC12D4">
        <w:t> de alta resolución, resistentes al desgaste y la decoloración, asegurando que los colores institucionales y logos se mantuvieran nítidos en cada PDV.</w:t>
      </w:r>
    </w:p>
    <w:p w14:paraId="3A7C62CF" w14:textId="7AE71146" w:rsidR="00FC12D4" w:rsidRDefault="00FC12D4" w:rsidP="00FC12D4">
      <w:pPr>
        <w:numPr>
          <w:ilvl w:val="0"/>
          <w:numId w:val="1"/>
        </w:numPr>
      </w:pPr>
      <w:r w:rsidRPr="00FC12D4">
        <w:rPr>
          <w:b/>
          <w:bCs/>
        </w:rPr>
        <w:t>Modularidad y Funcionalidad:</w:t>
      </w:r>
      <w:r w:rsidRPr="00FC12D4">
        <w:t> El diseño permitió adaptarse a espacios reducidos o amplios</w:t>
      </w:r>
      <w:r w:rsidR="0068306E">
        <w:t>.</w:t>
      </w:r>
    </w:p>
    <w:p w14:paraId="32B99741" w14:textId="77777777" w:rsidR="0068306E" w:rsidRPr="00FC12D4" w:rsidRDefault="0068306E" w:rsidP="00FC12D4">
      <w:pPr>
        <w:numPr>
          <w:ilvl w:val="0"/>
          <w:numId w:val="1"/>
        </w:numPr>
      </w:pPr>
    </w:p>
    <w:p w14:paraId="50E76FD2" w14:textId="77777777" w:rsidR="00FC12D4" w:rsidRPr="00FC12D4" w:rsidRDefault="00FC12D4" w:rsidP="00FC12D4">
      <w:pPr>
        <w:rPr>
          <w:b/>
          <w:bCs/>
        </w:rPr>
      </w:pPr>
      <w:r w:rsidRPr="00FC12D4">
        <w:rPr>
          <w:b/>
          <w:bCs/>
        </w:rPr>
        <w:lastRenderedPageBreak/>
        <w:t>Resultados e Impacto Cuantificable</w:t>
      </w:r>
    </w:p>
    <w:p w14:paraId="3A8365F2" w14:textId="77777777" w:rsidR="002F6CB9" w:rsidRDefault="00FC12D4" w:rsidP="002F6CB9">
      <w:pPr>
        <w:tabs>
          <w:tab w:val="num" w:pos="720"/>
        </w:tabs>
      </w:pPr>
      <w:r w:rsidRPr="00FC12D4">
        <w:t xml:space="preserve">El proyecto se implementó puntos de venta </w:t>
      </w:r>
      <w:r w:rsidR="002F6CB9">
        <w:t xml:space="preserve">a </w:t>
      </w:r>
      <w:proofErr w:type="gramStart"/>
      <w:r w:rsidR="002F6CB9">
        <w:t>nivel :</w:t>
      </w:r>
      <w:proofErr w:type="gramEnd"/>
      <w:r w:rsidR="002F6CB9">
        <w:br/>
      </w:r>
    </w:p>
    <w:p w14:paraId="4490172D" w14:textId="00CFAF44" w:rsidR="00FC12D4" w:rsidRPr="00FC12D4" w:rsidRDefault="00FC12D4" w:rsidP="002F6CB9">
      <w:pPr>
        <w:pStyle w:val="Prrafodelista"/>
        <w:numPr>
          <w:ilvl w:val="0"/>
          <w:numId w:val="3"/>
        </w:numPr>
        <w:tabs>
          <w:tab w:val="num" w:pos="720"/>
        </w:tabs>
      </w:pPr>
      <w:r w:rsidRPr="002F6CB9">
        <w:rPr>
          <w:b/>
          <w:bCs/>
        </w:rPr>
        <w:t>Refuerzo de Marca:</w:t>
      </w:r>
      <w:r w:rsidRPr="00FC12D4">
        <w:t> Coherencia visual en todos los PDV, con un </w:t>
      </w:r>
      <w:r w:rsidRPr="002F6CB9">
        <w:rPr>
          <w:b/>
          <w:bCs/>
        </w:rPr>
        <w:t>incremento del 30% en recordación espontánea</w:t>
      </w:r>
      <w:r w:rsidRPr="00FC12D4">
        <w:t xml:space="preserve"> de </w:t>
      </w:r>
      <w:proofErr w:type="spellStart"/>
      <w:r w:rsidRPr="00FC12D4">
        <w:t>Lidherma</w:t>
      </w:r>
      <w:proofErr w:type="spellEnd"/>
      <w:r w:rsidRPr="00FC12D4">
        <w:t xml:space="preserve"> en zonas donde se instaló el stand.</w:t>
      </w:r>
    </w:p>
    <w:p w14:paraId="66D5DFDA" w14:textId="7E837F70" w:rsidR="00FC12D4" w:rsidRPr="00FC12D4" w:rsidRDefault="00FC12D4" w:rsidP="00FC12D4">
      <w:pPr>
        <w:numPr>
          <w:ilvl w:val="0"/>
          <w:numId w:val="2"/>
        </w:numPr>
      </w:pPr>
      <w:r w:rsidRPr="00FC12D4">
        <w:rPr>
          <w:b/>
          <w:bCs/>
        </w:rPr>
        <w:t>Interacción y Ventas:</w:t>
      </w:r>
      <w:r w:rsidRPr="00FC12D4">
        <w:t> Los stands registraron un </w:t>
      </w:r>
      <w:r w:rsidRPr="00FC12D4">
        <w:rPr>
          <w:b/>
          <w:bCs/>
        </w:rPr>
        <w:t>aumento en consultas sobre productos</w:t>
      </w:r>
      <w:r w:rsidR="00905ABA">
        <w:t>.</w:t>
      </w:r>
    </w:p>
    <w:p w14:paraId="35F9AB7A" w14:textId="32A1410D" w:rsidR="00FC12D4" w:rsidRPr="00FC12D4" w:rsidRDefault="00FC12D4" w:rsidP="00FC12D4">
      <w:pPr>
        <w:numPr>
          <w:ilvl w:val="0"/>
          <w:numId w:val="2"/>
        </w:numPr>
      </w:pPr>
      <w:r w:rsidRPr="00FC12D4">
        <w:rPr>
          <w:b/>
          <w:bCs/>
        </w:rPr>
        <w:t>Flexibilidad Operativa:</w:t>
      </w:r>
      <w:r w:rsidRPr="00FC12D4">
        <w:t> </w:t>
      </w:r>
      <w:proofErr w:type="gramStart"/>
      <w:r w:rsidRPr="00FC12D4">
        <w:t>La modularidad</w:t>
      </w:r>
      <w:proofErr w:type="gramEnd"/>
      <w:r w:rsidRPr="00FC12D4">
        <w:t xml:space="preserve"> permitió rotar el stand entre locaciones con un </w:t>
      </w:r>
      <w:r w:rsidRPr="00FC12D4">
        <w:rPr>
          <w:b/>
          <w:bCs/>
        </w:rPr>
        <w:t xml:space="preserve">costo de logística reducido </w:t>
      </w:r>
      <w:r w:rsidR="00905ABA" w:rsidRPr="00905ABA">
        <w:t>comprado</w:t>
      </w:r>
      <w:r w:rsidR="00905ABA">
        <w:rPr>
          <w:b/>
          <w:bCs/>
        </w:rPr>
        <w:t xml:space="preserve"> a </w:t>
      </w:r>
      <w:r w:rsidRPr="00FC12D4">
        <w:t>estructuras fijas.</w:t>
      </w:r>
    </w:p>
    <w:p w14:paraId="463435C5" w14:textId="77777777" w:rsidR="00FC12D4" w:rsidRPr="00FC12D4" w:rsidRDefault="00FC12D4" w:rsidP="00FC12D4">
      <w:pPr>
        <w:numPr>
          <w:ilvl w:val="0"/>
          <w:numId w:val="2"/>
        </w:numPr>
      </w:pPr>
      <w:proofErr w:type="spellStart"/>
      <w:r w:rsidRPr="00FC12D4">
        <w:rPr>
          <w:b/>
          <w:bCs/>
        </w:rPr>
        <w:t>Feedback</w:t>
      </w:r>
      <w:proofErr w:type="spellEnd"/>
      <w:r w:rsidRPr="00FC12D4">
        <w:rPr>
          <w:b/>
          <w:bCs/>
        </w:rPr>
        <w:t xml:space="preserve"> cualitativo:</w:t>
      </w:r>
      <w:r w:rsidRPr="00FC12D4">
        <w:t xml:space="preserve"> Los </w:t>
      </w:r>
      <w:proofErr w:type="spellStart"/>
      <w:r w:rsidRPr="00FC12D4">
        <w:t>retailers</w:t>
      </w:r>
      <w:proofErr w:type="spellEnd"/>
      <w:r w:rsidRPr="00FC12D4">
        <w:t xml:space="preserve"> destacaron la profesionalidad del diseño y su eficacia para atraer la atención de clientes sin saturar el espacio.</w:t>
      </w:r>
    </w:p>
    <w:p w14:paraId="678157D2" w14:textId="77777777" w:rsidR="00240888" w:rsidRDefault="00240888"/>
    <w:sectPr w:rsidR="00240888">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lanpez / PRODUCCION" w:date="2025-09-18T10:22:00Z" w:initials="p">
    <w:p w14:paraId="17A10FFC" w14:textId="77777777" w:rsidR="00FC12D4" w:rsidRDefault="00FC12D4" w:rsidP="00FC12D4">
      <w:pPr>
        <w:pStyle w:val="Textocomentario"/>
      </w:pPr>
      <w:r>
        <w:rPr>
          <w:rStyle w:val="Refdecomentario"/>
        </w:rPr>
        <w:annotationRef/>
      </w:r>
      <w:r>
        <w:t>Este caso se presenta en la </w:t>
      </w:r>
      <w:r>
        <w:rPr>
          <w:b/>
          <w:bCs/>
        </w:rPr>
        <w:t>Categoría 44 (Store-in-Store)</w:t>
      </w:r>
      <w:r>
        <w:t> por ser un espacio de marca con identidad propia dentro de puntos de venta más amplios, delimitado física y conceptualmente para destacar la propuesta comercial de Lidherma.</w:t>
      </w:r>
      <w:r>
        <w:br/>
      </w:r>
      <w:r>
        <w:rPr>
          <w:b/>
          <w:bCs/>
        </w:rPr>
        <w:t>Alternativamente, aplica a la Categoría 47</w:t>
      </w:r>
      <w:r>
        <w:t> si los stands se usaron en eventos o exposiciones temporales fuera del entorno retail tradicional.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A10F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42C919" w16cex:dateUtc="2025-09-18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A10FFC" w16cid:durableId="3642C91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435"/>
    <w:multiLevelType w:val="hybridMultilevel"/>
    <w:tmpl w:val="66E246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4CB3B26"/>
    <w:multiLevelType w:val="multilevel"/>
    <w:tmpl w:val="E336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2D618F"/>
    <w:multiLevelType w:val="multilevel"/>
    <w:tmpl w:val="DBB8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6814339">
    <w:abstractNumId w:val="2"/>
  </w:num>
  <w:num w:numId="2" w16cid:durableId="550312079">
    <w:abstractNumId w:val="1"/>
  </w:num>
  <w:num w:numId="3" w16cid:durableId="8151469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lanpez / PRODUCCION">
    <w15:presenceInfo w15:providerId="AD" w15:userId="S::produccion7@planpez.com.ar::db45535f-5a2f-4627-88ca-11ba07d47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D4"/>
    <w:rsid w:val="00097885"/>
    <w:rsid w:val="00240888"/>
    <w:rsid w:val="002F6CB9"/>
    <w:rsid w:val="00351C92"/>
    <w:rsid w:val="0068306E"/>
    <w:rsid w:val="00905ABA"/>
    <w:rsid w:val="0090693F"/>
    <w:rsid w:val="009F2323"/>
    <w:rsid w:val="00B37E8D"/>
    <w:rsid w:val="00D97F64"/>
    <w:rsid w:val="00FC12D4"/>
    <w:rsid w:val="00FF032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4FCC4"/>
  <w15:chartTrackingRefBased/>
  <w15:docId w15:val="{E910A7DF-3E56-4963-9409-AB90269B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1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C1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C12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C12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C12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C12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C12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C12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C12D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12D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C12D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C12D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C12D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C12D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C12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C12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C12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C12D4"/>
    <w:rPr>
      <w:rFonts w:eastAsiaTheme="majorEastAsia" w:cstheme="majorBidi"/>
      <w:color w:val="272727" w:themeColor="text1" w:themeTint="D8"/>
    </w:rPr>
  </w:style>
  <w:style w:type="paragraph" w:styleId="Ttulo">
    <w:name w:val="Title"/>
    <w:basedOn w:val="Normal"/>
    <w:next w:val="Normal"/>
    <w:link w:val="TtuloCar"/>
    <w:uiPriority w:val="10"/>
    <w:qFormat/>
    <w:rsid w:val="00FC1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C12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C12D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C12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C12D4"/>
    <w:pPr>
      <w:spacing w:before="160"/>
      <w:jc w:val="center"/>
    </w:pPr>
    <w:rPr>
      <w:i/>
      <w:iCs/>
      <w:color w:val="404040" w:themeColor="text1" w:themeTint="BF"/>
    </w:rPr>
  </w:style>
  <w:style w:type="character" w:customStyle="1" w:styleId="CitaCar">
    <w:name w:val="Cita Car"/>
    <w:basedOn w:val="Fuentedeprrafopredeter"/>
    <w:link w:val="Cita"/>
    <w:uiPriority w:val="29"/>
    <w:rsid w:val="00FC12D4"/>
    <w:rPr>
      <w:i/>
      <w:iCs/>
      <w:color w:val="404040" w:themeColor="text1" w:themeTint="BF"/>
    </w:rPr>
  </w:style>
  <w:style w:type="paragraph" w:styleId="Prrafodelista">
    <w:name w:val="List Paragraph"/>
    <w:basedOn w:val="Normal"/>
    <w:uiPriority w:val="34"/>
    <w:qFormat/>
    <w:rsid w:val="00FC12D4"/>
    <w:pPr>
      <w:ind w:left="720"/>
      <w:contextualSpacing/>
    </w:pPr>
  </w:style>
  <w:style w:type="character" w:styleId="nfasisintenso">
    <w:name w:val="Intense Emphasis"/>
    <w:basedOn w:val="Fuentedeprrafopredeter"/>
    <w:uiPriority w:val="21"/>
    <w:qFormat/>
    <w:rsid w:val="00FC12D4"/>
    <w:rPr>
      <w:i/>
      <w:iCs/>
      <w:color w:val="0F4761" w:themeColor="accent1" w:themeShade="BF"/>
    </w:rPr>
  </w:style>
  <w:style w:type="paragraph" w:styleId="Citadestacada">
    <w:name w:val="Intense Quote"/>
    <w:basedOn w:val="Normal"/>
    <w:next w:val="Normal"/>
    <w:link w:val="CitadestacadaCar"/>
    <w:uiPriority w:val="30"/>
    <w:qFormat/>
    <w:rsid w:val="00FC1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C12D4"/>
    <w:rPr>
      <w:i/>
      <w:iCs/>
      <w:color w:val="0F4761" w:themeColor="accent1" w:themeShade="BF"/>
    </w:rPr>
  </w:style>
  <w:style w:type="character" w:styleId="Referenciaintensa">
    <w:name w:val="Intense Reference"/>
    <w:basedOn w:val="Fuentedeprrafopredeter"/>
    <w:uiPriority w:val="32"/>
    <w:qFormat/>
    <w:rsid w:val="00FC12D4"/>
    <w:rPr>
      <w:b/>
      <w:bCs/>
      <w:smallCaps/>
      <w:color w:val="0F4761" w:themeColor="accent1" w:themeShade="BF"/>
      <w:spacing w:val="5"/>
    </w:rPr>
  </w:style>
  <w:style w:type="character" w:styleId="Refdecomentario">
    <w:name w:val="annotation reference"/>
    <w:basedOn w:val="Fuentedeprrafopredeter"/>
    <w:uiPriority w:val="99"/>
    <w:semiHidden/>
    <w:unhideWhenUsed/>
    <w:rsid w:val="00FC12D4"/>
    <w:rPr>
      <w:sz w:val="16"/>
      <w:szCs w:val="16"/>
    </w:rPr>
  </w:style>
  <w:style w:type="paragraph" w:styleId="Textocomentario">
    <w:name w:val="annotation text"/>
    <w:basedOn w:val="Normal"/>
    <w:link w:val="TextocomentarioCar"/>
    <w:uiPriority w:val="99"/>
    <w:unhideWhenUsed/>
    <w:rsid w:val="00FC12D4"/>
    <w:pPr>
      <w:spacing w:line="240" w:lineRule="auto"/>
    </w:pPr>
    <w:rPr>
      <w:sz w:val="20"/>
      <w:szCs w:val="20"/>
    </w:rPr>
  </w:style>
  <w:style w:type="character" w:customStyle="1" w:styleId="TextocomentarioCar">
    <w:name w:val="Texto comentario Car"/>
    <w:basedOn w:val="Fuentedeprrafopredeter"/>
    <w:link w:val="Textocomentario"/>
    <w:uiPriority w:val="99"/>
    <w:rsid w:val="00FC12D4"/>
    <w:rPr>
      <w:sz w:val="20"/>
      <w:szCs w:val="20"/>
    </w:rPr>
  </w:style>
  <w:style w:type="paragraph" w:styleId="Asuntodelcomentario">
    <w:name w:val="annotation subject"/>
    <w:basedOn w:val="Textocomentario"/>
    <w:next w:val="Textocomentario"/>
    <w:link w:val="AsuntodelcomentarioCar"/>
    <w:uiPriority w:val="99"/>
    <w:semiHidden/>
    <w:unhideWhenUsed/>
    <w:rsid w:val="00FC12D4"/>
    <w:rPr>
      <w:b/>
      <w:bCs/>
    </w:rPr>
  </w:style>
  <w:style w:type="character" w:customStyle="1" w:styleId="AsuntodelcomentarioCar">
    <w:name w:val="Asunto del comentario Car"/>
    <w:basedOn w:val="TextocomentarioCar"/>
    <w:link w:val="Asuntodelcomentario"/>
    <w:uiPriority w:val="99"/>
    <w:semiHidden/>
    <w:rsid w:val="00FC12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38946F66435244BE97D241EFC5914B" ma:contentTypeVersion="13" ma:contentTypeDescription="Crear nuevo documento." ma:contentTypeScope="" ma:versionID="e1cdc8d0979b1c75d1c6e7ceeab200d1">
  <xsd:schema xmlns:xsd="http://www.w3.org/2001/XMLSchema" xmlns:xs="http://www.w3.org/2001/XMLSchema" xmlns:p="http://schemas.microsoft.com/office/2006/metadata/properties" xmlns:ns2="52e2f535-ba15-40fd-bd9c-cf66caec1c77" xmlns:ns3="435b9c05-443e-4a34-93be-d9f8435bf253" targetNamespace="http://schemas.microsoft.com/office/2006/metadata/properties" ma:root="true" ma:fieldsID="407e664ee6c372b7b4608a669d11e604" ns2:_="" ns3:_="">
    <xsd:import namespace="52e2f535-ba15-40fd-bd9c-cf66caec1c77"/>
    <xsd:import namespace="435b9c05-443e-4a34-93be-d9f8435bf2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2f535-ba15-40fd-bd9c-cf66caec1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36d2f269-9bea-4d57-96c0-aae2a98342a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5b9c05-443e-4a34-93be-d9f8435bf2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a0c6f9-39c6-4775-8a2e-e91f8137e5af}" ma:internalName="TaxCatchAll" ma:showField="CatchAllData" ma:web="435b9c05-443e-4a34-93be-d9f8435bf2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5b9c05-443e-4a34-93be-d9f8435bf253" xsi:nil="true"/>
    <lcf76f155ced4ddcb4097134ff3c332f xmlns="52e2f535-ba15-40fd-bd9c-cf66caec1c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85D26-90D7-4F4D-A781-8ABF6203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2f535-ba15-40fd-bd9c-cf66caec1c77"/>
    <ds:schemaRef ds:uri="435b9c05-443e-4a34-93be-d9f8435bf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08107D-B5FF-4491-A527-85A340D272D2}">
  <ds:schemaRefs>
    <ds:schemaRef ds:uri="http://schemas.microsoft.com/office/2006/metadata/properties"/>
    <ds:schemaRef ds:uri="http://schemas.microsoft.com/office/infopath/2007/PartnerControls"/>
    <ds:schemaRef ds:uri="435b9c05-443e-4a34-93be-d9f8435bf253"/>
    <ds:schemaRef ds:uri="52e2f535-ba15-40fd-bd9c-cf66caec1c77"/>
  </ds:schemaRefs>
</ds:datastoreItem>
</file>

<file path=customXml/itemProps3.xml><?xml version="1.0" encoding="utf-8"?>
<ds:datastoreItem xmlns:ds="http://schemas.openxmlformats.org/officeDocument/2006/customXml" ds:itemID="{21BACF13-60F8-4AFD-A627-CB5FA20751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372</Words>
  <Characters>2051</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planpez / PRODUCCION</dc:creator>
  <cp:keywords/>
  <dc:description/>
  <cp:lastModifiedBy>planpez / PRODUCCION</cp:lastModifiedBy>
  <cp:revision>9</cp:revision>
  <dcterms:created xsi:type="dcterms:W3CDTF">2025-09-18T13:20:00Z</dcterms:created>
  <dcterms:modified xsi:type="dcterms:W3CDTF">2025-09-18T14:52:00Z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0x0101002A38946F66435244BE97D241EFC5914B</vt:lpwstr>
  </property>
  <property fmtid="{D5CDD505-2E9C-101B-9397-08002B2CF9AE}" pid="3" name="MediaServiceImageTags">
    <vt:lpwstr/>
  </property>
</Properties>
</file>